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 w:cs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机构养老入住手续如何办理？</w:t>
      </w:r>
    </w:p>
    <w:p>
      <w:pPr>
        <w:jc w:val="center"/>
        <w:rPr>
          <w:rFonts w:ascii="黑体" w:hAnsi="黑体" w:eastAsia="黑体"/>
          <w:bCs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Theme="minorEastAsia" w:hAnsiTheme="minorEastAsia" w:eastAsiaTheme="minorEastAsia" w:cstheme="minorEastAsia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持本人身份证到要入住的养老机构办理即可，同时和机构签订入院合同。</w:t>
      </w:r>
    </w:p>
    <w:p>
      <w:pPr>
        <w:spacing w:line="540" w:lineRule="exact"/>
        <w:ind w:firstLine="640" w:firstLineChars="200"/>
        <w:rPr>
          <w:rFonts w:hint="eastAsia" w:asciiTheme="minorEastAsia" w:hAnsiTheme="minorEastAsia" w:eastAsiaTheme="minorEastAsia" w:cstheme="minorEastAsia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咨询电话：52673816</w:t>
      </w:r>
    </w:p>
    <w:p>
      <w:pPr>
        <w:spacing w:line="540" w:lineRule="exact"/>
        <w:ind w:firstLine="640" w:firstLineChars="200"/>
        <w:rPr>
          <w:rFonts w:hint="eastAsia" w:asciiTheme="minorEastAsia" w:hAnsiTheme="minorEastAsia" w:eastAsiaTheme="minorEastAsia" w:cstheme="minorEastAsia"/>
          <w:bCs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Theme="minorEastAsia" w:hAnsiTheme="minorEastAsia" w:eastAsiaTheme="minorEastAsia" w:cstheme="minorEastAsia"/>
          <w:bCs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Theme="minorEastAsia" w:hAnsiTheme="minorEastAsia" w:eastAsiaTheme="minorEastAsia" w:cstheme="minorEastAsia"/>
          <w:bCs/>
          <w:sz w:val="32"/>
          <w:szCs w:val="32"/>
        </w:rPr>
      </w:pPr>
    </w:p>
    <w:p>
      <w:pPr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  <w:lang w:val="en-US" w:eastAsia="zh-CN"/>
        </w:rPr>
        <w:t>居民死亡</w:t>
      </w:r>
      <w:bookmarkStart w:id="0" w:name="_GoBack"/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  <w:lang w:val="en-US" w:eastAsia="zh-CN"/>
        </w:rPr>
        <w:t>证明</w:t>
      </w:r>
      <w:bookmarkEnd w:id="0"/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  <w:lang w:val="en-US" w:eastAsia="zh-CN"/>
        </w:rPr>
        <w:t>如何办理？</w:t>
      </w:r>
    </w:p>
    <w:p>
      <w:pPr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死亡证明办理分为正常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死亡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和非正常使用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死亡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两种情况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：</w:t>
      </w:r>
    </w:p>
    <w:p>
      <w:pPr>
        <w:numPr>
          <w:ilvl w:val="0"/>
          <w:numId w:val="0"/>
        </w:numPr>
        <w:ind w:firstLine="643" w:firstLineChars="200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一是正常死亡遗体手续办理程序。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在医院死亡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开具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医学死亡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证明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；（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家中死亡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由当地派出所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居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（村）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委会开具死亡证明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；（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途中死亡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通知所辖派出所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甄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别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死亡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原因，属正常死亡开具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死亡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证明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对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死因有异议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按照非正常死亡遗体程序处理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；（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）丧属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提供逝者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与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经办人身份证原件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复印件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3" w:firstLineChars="200"/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二是非正常死亡遗体手续办理程序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由当地派出所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或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交警部门开具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“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遗体处理通知书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”；（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）对死因有异议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交由公安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刑侦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部门鉴定后拿出遗体处理意见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；（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）丧属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提供逝者与经办人身份证原件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复印件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start="41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415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83910B5"/>
    <w:rsid w:val="00250CCE"/>
    <w:rsid w:val="0086584F"/>
    <w:rsid w:val="00EE6565"/>
    <w:rsid w:val="1D805AD8"/>
    <w:rsid w:val="4AB719E3"/>
    <w:rsid w:val="55757F14"/>
    <w:rsid w:val="683910B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9</Words>
  <Characters>54</Characters>
  <Lines>1</Lines>
  <Paragraphs>1</Paragraphs>
  <TotalTime>0</TotalTime>
  <ScaleCrop>false</ScaleCrop>
  <LinksUpToDate>false</LinksUpToDate>
  <CharactersWithSpaces>62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2018-09-20T07:13:00Z</dcterms:created>
  <dc:creator>Administrator</dc:creator>
  <cp:lastModifiedBy>Administrator</cp:lastModifiedBy>
  <cp:lastPrinted>2018-10-06T06:18:00Z</cp:lastPrinted>
  <dcterms:modified xsi:type="dcterms:W3CDTF">2018-10-11T08:04:34Z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