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EE" w:rsidRPr="00A561EE" w:rsidRDefault="00A561EE" w:rsidP="00A561EE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/>
          <w:color w:val="212121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212121"/>
          <w:kern w:val="0"/>
          <w:sz w:val="44"/>
          <w:szCs w:val="44"/>
        </w:rPr>
        <w:t>新抚</w:t>
      </w:r>
      <w:r w:rsidRPr="00A561EE">
        <w:rPr>
          <w:rFonts w:ascii="宋体" w:eastAsia="宋体" w:hAnsi="宋体" w:cs="宋体" w:hint="eastAsia"/>
          <w:b/>
          <w:bCs/>
          <w:color w:val="212121"/>
          <w:kern w:val="0"/>
          <w:sz w:val="44"/>
          <w:szCs w:val="44"/>
        </w:rPr>
        <w:t>区人力资源和社会保障局</w:t>
      </w:r>
    </w:p>
    <w:p w:rsidR="00A561EE" w:rsidRPr="00A561EE" w:rsidRDefault="00A561EE" w:rsidP="00A561EE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宋体" w:eastAsia="宋体" w:hAnsi="宋体" w:cs="宋体" w:hint="eastAsia"/>
          <w:b/>
          <w:bCs/>
          <w:color w:val="212121"/>
          <w:kern w:val="0"/>
          <w:sz w:val="44"/>
          <w:szCs w:val="44"/>
        </w:rPr>
        <w:t>“双随机、一公开”实施细则</w:t>
      </w:r>
    </w:p>
    <w:p w:rsidR="00A561EE" w:rsidRPr="00A561EE" w:rsidRDefault="00A561EE" w:rsidP="00A561EE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 </w:t>
      </w:r>
    </w:p>
    <w:p w:rsidR="00085EC0" w:rsidRPr="00085EC0" w:rsidRDefault="00085EC0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Theme="majorEastAsia" w:eastAsiaTheme="majorEastAsia" w:hAnsiTheme="majorEastAsia" w:hint="eastAsia"/>
          <w:color w:val="474A48"/>
          <w:sz w:val="32"/>
          <w:szCs w:val="32"/>
          <w:shd w:val="clear" w:color="auto" w:fill="FFFFFF"/>
        </w:rPr>
      </w:pPr>
      <w:r w:rsidRPr="00085EC0">
        <w:rPr>
          <w:rFonts w:asciiTheme="majorEastAsia" w:eastAsiaTheme="majorEastAsia" w:hAnsiTheme="majorEastAsia" w:hint="eastAsia"/>
          <w:color w:val="474A48"/>
          <w:sz w:val="32"/>
          <w:szCs w:val="32"/>
          <w:shd w:val="clear" w:color="auto" w:fill="FFFFFF"/>
        </w:rPr>
        <w:t>为了有效推进依法行政、简政放权，严格规范行政执法检查行为，加强事中事后监管，营造公平、有序、诚信的经济社会发展环境，维护公民、法人和其它组织的合法权益，结合新抚区人社局行政执法工作实际，制定本实施细则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第一条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“双随机、一公开”制度，是指在依法实施监督检查时，通过电子抽签方式随机抽取监管对象、随机选派执法检查人员和将随机抽查工作全流程公开。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第二条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“双随机、一公开”的实施原则是：规范监管、公正高效、公开透明、协同推进。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第三条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区人社局负责统筹辖区市场监管主体“双随机、一公开”工作。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第四条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对照权力清单，制定随机抽查事项清单，明确事项名称、内容、依据等，并向社会公示。法律、法规和规章没有规定的，一律不得擅自开展检查。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第五条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对因投诉、举报，上级部门交办或其他部门移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送案件线索等原因，需要对具体被检查对象实施检查时，不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采取“双随机”检查方式。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第六条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根据省厅依法核发的“劳动保障监察证”，建立行政执法检查人员名录库，并对外公示。行政执法检查人员名录库随人员单位变动、岗位调整等因素给予动态调整。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lastRenderedPageBreak/>
        <w:t>执法检查人员名录库，应当明确执法人员的身份信息：姓名、性别、单位、职务、监察证号情况等。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第七条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依据随机抽查事项清单，建立被检市场主体名录库，被检市场主体名录库依据企业生存状态进行动态调整。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第八条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要合理确定年度抽查的比例、频次和方式，既要保证必要的被检查对象覆盖面和监管力度，同时防止过度检查。对于守信企业，在抽取时可予以不抽查或降低抽查次数。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第九条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开展日常巡视检查工作时，按照职责分工，从区劳动保障监察局行政执法人员中随机选派执法检查人员；开展专项检查工作时，按照职责分工，适当补充部分执法检查人员与被检查对象随机分组。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行政执法检查人员与被检查对象有利害关系的，应依法回避。回避可采取与其他执法检查人员交换被检查对象的方式，也可以采取不参与本次执法检查的方式。确定不参与本次执法检查的，再次抽取替代执法检查人员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第十条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原则上，在同一年度内对同一企业的抽查次数不超过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2 次。对同一市场主体的多个检查事项，协调组织有关行政执法部门开展联合抽查，一次性联合完成，避免多个部门重复检查。对于进入“黑名单”等处于经营异常状态、 因违法已受到行政处罚的企业，不受此款限制。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lastRenderedPageBreak/>
        <w:t>第十一条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对抽查依据、抽查主体、抽查事项、抽查方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式、抽查程序和抽查结果实行全流程公开（涉及商业秘密的内容除外），接受社会监督。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第十二条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行政执法检查人员每次双随机抽查结果应当在查处完毕10个工作日内，经局领导审定后对外公开。随机抽查结果纳入市场主体的社会信用记录，定期向社会公示。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第十三条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对检查发现的违法行为，做出是否予以行政处罚、移送其他行政机关、移送司法机关等决定，并依法进行公示。</w:t>
      </w:r>
    </w:p>
    <w:p w:rsidR="00A561EE" w:rsidRPr="00A561EE" w:rsidRDefault="00A561EE" w:rsidP="00085EC0">
      <w:pPr>
        <w:widowControl/>
        <w:shd w:val="clear" w:color="auto" w:fill="FFFFFF"/>
        <w:spacing w:line="600" w:lineRule="exact"/>
        <w:ind w:firstLine="640"/>
        <w:jc w:val="left"/>
        <w:rPr>
          <w:rFonts w:ascii="宋体" w:eastAsia="宋体" w:hAnsi="宋体" w:cs="宋体"/>
          <w:color w:val="212121"/>
          <w:kern w:val="0"/>
          <w:szCs w:val="21"/>
        </w:rPr>
      </w:pP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第十四条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</w:rPr>
        <w:t> </w:t>
      </w:r>
      <w:r w:rsidRPr="00A561EE">
        <w:rPr>
          <w:rFonts w:ascii="仿宋_GB2312" w:eastAsia="仿宋_GB2312" w:hAnsi="宋体" w:cs="宋体" w:hint="eastAsia"/>
          <w:color w:val="212121"/>
          <w:kern w:val="0"/>
          <w:sz w:val="32"/>
          <w:szCs w:val="32"/>
        </w:rPr>
        <w:t>开展“双随机、一公开”工作，应当严格遵守法律法规规章制度，遵守工作纪律，依法行政、廉洁执法。对不依照本《实施细则》开展“双随机、一公开”工作，造成严重后果的，依法依纪追究责任。</w:t>
      </w:r>
    </w:p>
    <w:p w:rsidR="00C77E6B" w:rsidRDefault="00C77E6B" w:rsidP="00085EC0">
      <w:pPr>
        <w:spacing w:line="600" w:lineRule="exact"/>
      </w:pPr>
    </w:p>
    <w:sectPr w:rsidR="00C77E6B" w:rsidSect="00C7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C0" w:rsidRDefault="00085EC0" w:rsidP="00085EC0">
      <w:r>
        <w:separator/>
      </w:r>
    </w:p>
  </w:endnote>
  <w:endnote w:type="continuationSeparator" w:id="0">
    <w:p w:rsidR="00085EC0" w:rsidRDefault="00085EC0" w:rsidP="0008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C0" w:rsidRDefault="00085EC0" w:rsidP="00085EC0">
      <w:r>
        <w:separator/>
      </w:r>
    </w:p>
  </w:footnote>
  <w:footnote w:type="continuationSeparator" w:id="0">
    <w:p w:rsidR="00085EC0" w:rsidRDefault="00085EC0" w:rsidP="00085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EE"/>
    <w:rsid w:val="00085EC0"/>
    <w:rsid w:val="00851AC8"/>
    <w:rsid w:val="00A561EE"/>
    <w:rsid w:val="00C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1EE"/>
  </w:style>
  <w:style w:type="paragraph" w:styleId="a3">
    <w:name w:val="Balloon Text"/>
    <w:basedOn w:val="a"/>
    <w:link w:val="Char"/>
    <w:uiPriority w:val="99"/>
    <w:semiHidden/>
    <w:unhideWhenUsed/>
    <w:rsid w:val="00A561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1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85EC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8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85E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RSJ</cp:lastModifiedBy>
  <cp:revision>2</cp:revision>
  <cp:lastPrinted>2017-04-17T03:09:00Z</cp:lastPrinted>
  <dcterms:created xsi:type="dcterms:W3CDTF">2017-04-17T03:04:00Z</dcterms:created>
  <dcterms:modified xsi:type="dcterms:W3CDTF">2017-04-17T03:13:00Z</dcterms:modified>
</cp:coreProperties>
</file>