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560"/>
        <w:gridCol w:w="1404"/>
        <w:gridCol w:w="1940"/>
        <w:gridCol w:w="194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Cs w:val="32"/>
              </w:rPr>
              <w:t>附件2：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Cs w:val="32"/>
              </w:rPr>
              <w:t>中、小、微型企业划型标准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行业名称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中型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Y&lt;40000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Y&lt;80000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资产总额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(Z)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Z&lt;80000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Z&lt;5000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Z&lt;300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X&lt;200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Y&lt;40000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Y&lt;30000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仓储业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X&lt;200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Y&lt;30000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Y&lt;30000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Y&lt;10000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Y&lt;10000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信息传输业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Y&lt;100000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Y&lt;10000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Y&lt;200000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资产总额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(Z)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Z&lt;10000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Z&lt;5000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Z&lt;2000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营业收入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(Y)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Y&lt;5000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Y&lt;1000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Y&lt;500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资产总额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(Z)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Z&lt;120000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Z&lt;8000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Z&lt;100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其他未列明行业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(X)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X&lt;300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X&lt;100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X&lt;10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注：中型和小型企业须同时满足所列指标的下限，否则下划一档；微型企业只须满足所列指标中的一项即可。</w:t>
            </w:r>
          </w:p>
        </w:tc>
      </w:tr>
    </w:tbl>
    <w:p/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60D12"/>
    <w:rsid w:val="677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2018-11-21T02:12:00Z</dcterms:created>
  <dc:creator>Administrator</dc:creator>
  <cp:lastModifiedBy>Administrator</cp:lastModifiedBy>
  <dcterms:modified xsi:type="dcterms:W3CDTF">2018-11-21T02:18:30Z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