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228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52"/>
          <w:szCs w:val="52"/>
          <w:lang w:eastAsia="zh-CN"/>
        </w:rPr>
      </w:pPr>
      <w:r>
        <w:rPr>
          <w:rFonts w:hint="eastAsia" w:ascii="宋体" w:hAnsi="宋体" w:cs="宋体"/>
          <w:b/>
          <w:bCs/>
          <w:color w:val="000000"/>
          <w:sz w:val="52"/>
          <w:szCs w:val="52"/>
          <w:lang w:eastAsia="zh-CN"/>
        </w:rPr>
        <w:t>西露天健身步道项目</w:t>
      </w:r>
    </w:p>
    <w:p w14:paraId="02F18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52"/>
          <w:szCs w:val="52"/>
        </w:rPr>
      </w:pPr>
      <w:r>
        <w:rPr>
          <w:rFonts w:hint="eastAsia" w:ascii="宋体" w:hAnsi="宋体" w:eastAsia="宋体" w:cs="宋体"/>
          <w:b/>
          <w:bCs/>
          <w:sz w:val="52"/>
          <w:szCs w:val="52"/>
        </w:rPr>
        <w:t>社会稳定风险</w:t>
      </w:r>
      <w:r>
        <w:rPr>
          <w:rFonts w:hint="eastAsia" w:ascii="宋体" w:hAnsi="宋体" w:eastAsia="宋体" w:cs="宋体"/>
          <w:b/>
          <w:bCs/>
          <w:sz w:val="52"/>
          <w:szCs w:val="52"/>
          <w:lang w:eastAsia="zh-CN"/>
        </w:rPr>
        <w:t>评估</w:t>
      </w:r>
      <w:r>
        <w:rPr>
          <w:rFonts w:hint="eastAsia" w:ascii="宋体" w:hAnsi="宋体" w:eastAsia="宋体" w:cs="宋体"/>
          <w:b/>
          <w:bCs/>
          <w:sz w:val="52"/>
          <w:szCs w:val="52"/>
        </w:rPr>
        <w:t>征询意见公告</w:t>
      </w:r>
    </w:p>
    <w:p w14:paraId="56F571F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宋体" w:hAnsi="宋体" w:eastAsia="宋体" w:cs="宋体"/>
          <w:sz w:val="24"/>
          <w:szCs w:val="24"/>
        </w:rPr>
        <w:t>依据</w:t>
      </w:r>
      <w:r>
        <w:rPr>
          <w:rFonts w:hint="eastAsia" w:ascii="宋体" w:hAnsi="宋体" w:eastAsia="宋体" w:cs="宋体"/>
          <w:sz w:val="24"/>
          <w:szCs w:val="24"/>
          <w:lang w:eastAsia="zh-CN"/>
        </w:rPr>
        <w:t>国务院颁布的</w:t>
      </w:r>
      <w:r>
        <w:rPr>
          <w:rFonts w:hint="eastAsia" w:ascii="宋体" w:hAnsi="宋体" w:eastAsia="宋体" w:cs="宋体"/>
          <w:sz w:val="24"/>
          <w:szCs w:val="24"/>
        </w:rPr>
        <w:t>《重大行政决策程序暂行条例》（</w:t>
      </w:r>
      <w:r>
        <w:rPr>
          <w:rFonts w:hint="eastAsia" w:ascii="宋体" w:hAnsi="宋体" w:eastAsia="宋体" w:cs="宋体"/>
          <w:sz w:val="24"/>
          <w:szCs w:val="24"/>
          <w:lang w:eastAsia="zh-CN"/>
        </w:rPr>
        <w:t>国务院令〔</w:t>
      </w:r>
      <w:r>
        <w:rPr>
          <w:rFonts w:hint="eastAsia" w:ascii="宋体" w:hAnsi="宋体" w:eastAsia="宋体" w:cs="宋体"/>
          <w:sz w:val="24"/>
          <w:szCs w:val="24"/>
          <w:lang w:val="en-US" w:eastAsia="zh-CN"/>
        </w:rPr>
        <w:t>2019</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713号</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rPr>
        <w:t>国家发改委《关于印发国家发展改革委重大固定资产投资项目社会稳定风险评估暂行办法的通知》（发改</w:t>
      </w:r>
      <w:r>
        <w:rPr>
          <w:rFonts w:hint="eastAsia" w:ascii="宋体" w:hAnsi="宋体" w:eastAsia="宋体" w:cs="宋体"/>
          <w:sz w:val="24"/>
          <w:szCs w:val="24"/>
          <w:lang w:val="en-US" w:eastAsia="zh-CN"/>
        </w:rPr>
        <w:t>投资〔2012〕2492号）</w:t>
      </w:r>
      <w:r>
        <w:rPr>
          <w:rFonts w:hint="eastAsia" w:ascii="宋体" w:hAnsi="宋体" w:eastAsia="宋体" w:cs="宋体"/>
          <w:sz w:val="24"/>
          <w:szCs w:val="24"/>
        </w:rPr>
        <w:t>的要求，</w:t>
      </w:r>
      <w:r>
        <w:rPr>
          <w:rFonts w:hint="eastAsia" w:ascii="宋体" w:hAnsi="宋体" w:eastAsia="宋体" w:cs="宋体"/>
          <w:sz w:val="24"/>
          <w:szCs w:val="24"/>
          <w:lang w:val="en-US" w:eastAsia="zh-CN"/>
        </w:rPr>
        <w:t>在</w:t>
      </w:r>
      <w:r>
        <w:rPr>
          <w:rFonts w:hint="eastAsia" w:ascii="宋体" w:hAnsi="宋体" w:cs="宋体"/>
          <w:color w:val="auto"/>
          <w:sz w:val="24"/>
          <w:szCs w:val="24"/>
          <w:highlight w:val="none"/>
          <w:lang w:val="en-US" w:eastAsia="zh-CN"/>
        </w:rPr>
        <w:t>西露天健身步道项目</w:t>
      </w:r>
      <w:r>
        <w:rPr>
          <w:rFonts w:hint="eastAsia" w:ascii="宋体" w:hAnsi="宋体" w:eastAsia="宋体" w:cs="宋体"/>
          <w:sz w:val="24"/>
          <w:szCs w:val="24"/>
        </w:rPr>
        <w:t>社会稳定风险评估工作过程中，为切实履行公众参与、信息公开程序，现将</w:t>
      </w:r>
      <w:r>
        <w:rPr>
          <w:rFonts w:hint="eastAsia" w:ascii="宋体" w:hAnsi="宋体" w:eastAsia="宋体" w:cs="宋体"/>
          <w:sz w:val="24"/>
          <w:szCs w:val="24"/>
          <w:lang w:val="en-US" w:eastAsia="zh-CN"/>
        </w:rPr>
        <w:t>项目</w:t>
      </w:r>
      <w:r>
        <w:rPr>
          <w:rFonts w:hint="eastAsia" w:ascii="宋体" w:hAnsi="宋体" w:eastAsia="宋体" w:cs="宋体"/>
          <w:sz w:val="24"/>
          <w:szCs w:val="24"/>
        </w:rPr>
        <w:t>有关情况公告如下</w:t>
      </w:r>
      <w:r>
        <w:rPr>
          <w:rFonts w:hint="eastAsia" w:ascii="Times New Roman" w:hAnsi="Times New Roman" w:eastAsia="宋体" w:cs="Times New Roman"/>
          <w:sz w:val="24"/>
        </w:rPr>
        <w:t>：</w:t>
      </w:r>
    </w:p>
    <w:p w14:paraId="1489A5C2">
      <w:pPr>
        <w:pStyle w:val="2"/>
        <w:spacing w:before="0" w:after="0" w:line="360" w:lineRule="auto"/>
        <w:rPr>
          <w:sz w:val="24"/>
          <w:szCs w:val="24"/>
        </w:rPr>
      </w:pPr>
      <w:r>
        <w:rPr>
          <w:rFonts w:hint="eastAsia"/>
          <w:sz w:val="24"/>
          <w:szCs w:val="24"/>
        </w:rPr>
        <w:t xml:space="preserve">    </w:t>
      </w:r>
      <w:r>
        <w:rPr>
          <w:sz w:val="24"/>
          <w:szCs w:val="24"/>
        </w:rPr>
        <w:t>一、项目概况</w:t>
      </w:r>
    </w:p>
    <w:p w14:paraId="349B45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1、项目名称：</w:t>
      </w:r>
      <w:r>
        <w:rPr>
          <w:rFonts w:hint="eastAsia" w:ascii="宋体" w:hAnsi="宋体" w:cs="宋体"/>
          <w:color w:val="auto"/>
          <w:sz w:val="24"/>
          <w:szCs w:val="24"/>
          <w:highlight w:val="none"/>
          <w:lang w:val="en-US" w:eastAsia="zh-CN"/>
        </w:rPr>
        <w:t>西露天健身步道项目</w:t>
      </w:r>
    </w:p>
    <w:p w14:paraId="2B499B7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2、项目性质：</w:t>
      </w:r>
      <w:r>
        <w:rPr>
          <w:rFonts w:hint="eastAsia" w:ascii="宋体" w:hAnsi="宋体" w:cs="宋体"/>
          <w:sz w:val="24"/>
          <w:szCs w:val="24"/>
          <w:lang w:val="en-US" w:eastAsia="zh-CN"/>
        </w:rPr>
        <w:t>新建</w:t>
      </w:r>
    </w:p>
    <w:p w14:paraId="1ADAA293">
      <w:pPr>
        <w:spacing w:line="360" w:lineRule="auto"/>
        <w:ind w:firstLine="480" w:firstLineChars="200"/>
        <w:rPr>
          <w:rFonts w:hint="eastAsia" w:ascii="宋体" w:hAnsi="宋体" w:eastAsia="宋体" w:cs="Times New Roman"/>
          <w:color w:val="auto"/>
          <w:sz w:val="24"/>
          <w:szCs w:val="24"/>
          <w:highlight w:val="none"/>
          <w:lang w:val="en-US" w:eastAsia="zh-CN"/>
        </w:rPr>
      </w:pPr>
      <w:r>
        <w:rPr>
          <w:rFonts w:hint="eastAsia" w:ascii="宋体" w:hAnsi="宋体" w:eastAsia="宋体" w:cs="宋体"/>
          <w:sz w:val="24"/>
          <w:szCs w:val="24"/>
          <w:lang w:val="en-US" w:eastAsia="zh-CN"/>
        </w:rPr>
        <w:t>3、项目内容：</w:t>
      </w:r>
      <w:r>
        <w:rPr>
          <w:rFonts w:hint="eastAsia" w:ascii="宋体" w:hAnsi="宋体" w:cs="宋体"/>
          <w:sz w:val="24"/>
          <w:szCs w:val="24"/>
          <w:lang w:val="en-US" w:eastAsia="zh-CN"/>
        </w:rPr>
        <w:t>本项目</w:t>
      </w:r>
      <w:r>
        <w:rPr>
          <w:rFonts w:ascii="宋体" w:hAnsi="宋体" w:eastAsia="宋体" w:cs="宋体"/>
          <w:b w:val="0"/>
          <w:bCs w:val="0"/>
          <w:color w:val="000000"/>
          <w:sz w:val="24"/>
          <w:szCs w:val="24"/>
        </w:rPr>
        <w:t>对</w:t>
      </w:r>
      <w:r>
        <w:rPr>
          <w:rFonts w:hint="eastAsia" w:ascii="宋体" w:hAnsi="宋体" w:eastAsia="宋体" w:cs="Times New Roman"/>
          <w:color w:val="auto"/>
          <w:sz w:val="24"/>
          <w:szCs w:val="24"/>
          <w:highlight w:val="none"/>
          <w:lang w:val="en-US" w:eastAsia="zh-CN"/>
        </w:rPr>
        <w:t>本项目沿西露天矿矿坑周边新建绿色环坑健身步道，项目总用地面积37.89公顷，绿道总长度28.8公里。主要建设内容分为道路及绿化工程、照明工程、公用及配套设施工程、桥梁工程4部分。</w:t>
      </w:r>
    </w:p>
    <w:p w14:paraId="1F3CB283">
      <w:pPr>
        <w:spacing w:line="360" w:lineRule="auto"/>
        <w:ind w:firstLine="480" w:firstLineChars="200"/>
        <w:rPr>
          <w:rFonts w:hint="default" w:ascii="宋体" w:hAnsi="宋体" w:eastAsia="宋体" w:cs="Times New Roman"/>
          <w:color w:val="auto"/>
          <w:sz w:val="24"/>
          <w:szCs w:val="24"/>
          <w:highlight w:val="none"/>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4、项目地址：</w:t>
      </w:r>
      <w:r>
        <w:rPr>
          <w:rFonts w:hint="eastAsia" w:ascii="宋体" w:hAnsi="宋体" w:eastAsia="宋体" w:cs="Times New Roman"/>
          <w:color w:val="auto"/>
          <w:sz w:val="24"/>
          <w:szCs w:val="24"/>
          <w:highlight w:val="none"/>
          <w:lang w:val="en-US" w:eastAsia="zh-CN"/>
        </w:rPr>
        <w:t>抚顺市西露天矿周边</w:t>
      </w:r>
    </w:p>
    <w:p w14:paraId="2DF045B5">
      <w:pPr>
        <w:pStyle w:val="2"/>
        <w:spacing w:before="0" w:after="0" w:line="360" w:lineRule="auto"/>
        <w:ind w:firstLine="482" w:firstLineChars="200"/>
        <w:rPr>
          <w:sz w:val="24"/>
          <w:szCs w:val="24"/>
        </w:rPr>
      </w:pPr>
      <w:r>
        <w:rPr>
          <w:rFonts w:hint="eastAsia"/>
          <w:sz w:val="24"/>
          <w:szCs w:val="24"/>
        </w:rPr>
        <w:t>二、社会稳定风险分析的内容</w:t>
      </w:r>
    </w:p>
    <w:p w14:paraId="1DDB1777">
      <w:pPr>
        <w:spacing w:line="360" w:lineRule="auto"/>
        <w:rPr>
          <w:sz w:val="24"/>
        </w:rPr>
      </w:pPr>
      <w:r>
        <w:rPr>
          <w:rFonts w:hint="eastAsia"/>
          <w:sz w:val="24"/>
        </w:rPr>
        <w:t xml:space="preserve">    </w:t>
      </w:r>
      <w:r>
        <w:rPr>
          <w:sz w:val="24"/>
        </w:rPr>
        <w:t>1、结合国家法律、法规及相关规划等，对</w:t>
      </w:r>
      <w:r>
        <w:rPr>
          <w:rFonts w:hint="eastAsia"/>
          <w:sz w:val="24"/>
          <w:lang w:val="en-US" w:eastAsia="zh-CN"/>
        </w:rPr>
        <w:t>项目</w:t>
      </w:r>
      <w:r>
        <w:rPr>
          <w:sz w:val="24"/>
        </w:rPr>
        <w:t>的合法性、合理性、可行性和可控性</w:t>
      </w:r>
      <w:r>
        <w:rPr>
          <w:rFonts w:hint="eastAsia"/>
          <w:sz w:val="24"/>
          <w:lang w:eastAsia="zh-CN"/>
        </w:rPr>
        <w:t>进行</w:t>
      </w:r>
      <w:r>
        <w:rPr>
          <w:sz w:val="24"/>
        </w:rPr>
        <w:t>分析；</w:t>
      </w:r>
    </w:p>
    <w:p w14:paraId="6813BC1C">
      <w:pPr>
        <w:spacing w:line="360" w:lineRule="auto"/>
        <w:rPr>
          <w:sz w:val="24"/>
        </w:rPr>
      </w:pPr>
      <w:r>
        <w:rPr>
          <w:rFonts w:hint="eastAsia"/>
          <w:sz w:val="24"/>
        </w:rPr>
        <w:t xml:space="preserve">    </w:t>
      </w:r>
      <w:r>
        <w:rPr>
          <w:sz w:val="24"/>
        </w:rPr>
        <w:t>2、研究相关资料，实施社会调查，识别</w:t>
      </w:r>
      <w:r>
        <w:rPr>
          <w:rFonts w:hint="eastAsia"/>
          <w:sz w:val="24"/>
          <w:lang w:val="en-US" w:eastAsia="zh-CN"/>
        </w:rPr>
        <w:t>项目</w:t>
      </w:r>
      <w:r>
        <w:rPr>
          <w:sz w:val="24"/>
        </w:rPr>
        <w:t>可能存在的社会稳定风险因素；</w:t>
      </w:r>
    </w:p>
    <w:p w14:paraId="018D1C6E">
      <w:pPr>
        <w:spacing w:line="360" w:lineRule="auto"/>
        <w:rPr>
          <w:sz w:val="24"/>
        </w:rPr>
      </w:pPr>
      <w:r>
        <w:rPr>
          <w:rFonts w:hint="eastAsia"/>
          <w:sz w:val="24"/>
        </w:rPr>
        <w:t xml:space="preserve">    </w:t>
      </w:r>
      <w:r>
        <w:rPr>
          <w:sz w:val="24"/>
        </w:rPr>
        <w:t>3、对可能导致社会稳定风险的因素进行</w:t>
      </w:r>
      <w:r>
        <w:rPr>
          <w:rFonts w:hint="eastAsia"/>
          <w:sz w:val="24"/>
          <w:lang w:eastAsia="zh-CN"/>
        </w:rPr>
        <w:t>初步</w:t>
      </w:r>
      <w:r>
        <w:rPr>
          <w:sz w:val="24"/>
        </w:rPr>
        <w:t>分析和评估，判定风险程度；</w:t>
      </w:r>
    </w:p>
    <w:p w14:paraId="0E4BF72D">
      <w:pPr>
        <w:spacing w:line="360" w:lineRule="auto"/>
        <w:ind w:firstLine="480"/>
        <w:rPr>
          <w:rFonts w:hint="eastAsia"/>
          <w:sz w:val="24"/>
          <w:lang w:eastAsia="zh-CN"/>
        </w:rPr>
      </w:pPr>
      <w:r>
        <w:rPr>
          <w:sz w:val="24"/>
        </w:rPr>
        <w:t>4、</w:t>
      </w:r>
      <w:r>
        <w:rPr>
          <w:rFonts w:hint="eastAsia"/>
          <w:sz w:val="24"/>
          <w:lang w:eastAsia="zh-CN"/>
        </w:rPr>
        <w:t>结合分析结果，针对</w:t>
      </w:r>
      <w:r>
        <w:rPr>
          <w:rFonts w:hint="eastAsia"/>
          <w:sz w:val="24"/>
          <w:lang w:val="en-US" w:eastAsia="zh-CN"/>
        </w:rPr>
        <w:t>项目</w:t>
      </w:r>
      <w:r>
        <w:rPr>
          <w:rFonts w:hint="eastAsia"/>
          <w:sz w:val="24"/>
          <w:lang w:eastAsia="zh-CN"/>
        </w:rPr>
        <w:t>的风险程度和风险状态，确定初始风险等级；</w:t>
      </w:r>
    </w:p>
    <w:p w14:paraId="3130D112">
      <w:pPr>
        <w:spacing w:line="360" w:lineRule="auto"/>
        <w:ind w:firstLine="480"/>
        <w:rPr>
          <w:rFonts w:hint="eastAsia"/>
          <w:sz w:val="24"/>
          <w:lang w:val="en-US" w:eastAsia="zh-CN"/>
        </w:rPr>
      </w:pPr>
      <w:r>
        <w:rPr>
          <w:rFonts w:hint="eastAsia"/>
          <w:sz w:val="24"/>
          <w:lang w:val="en-US" w:eastAsia="zh-CN"/>
        </w:rPr>
        <w:t>5、针对风险因素和初步判定的风险等级；</w:t>
      </w:r>
    </w:p>
    <w:p w14:paraId="0E62166E">
      <w:pPr>
        <w:spacing w:line="360" w:lineRule="auto"/>
        <w:ind w:firstLine="480"/>
        <w:rPr>
          <w:sz w:val="24"/>
        </w:rPr>
      </w:pPr>
      <w:r>
        <w:rPr>
          <w:rFonts w:hint="eastAsia"/>
          <w:sz w:val="24"/>
          <w:lang w:val="en-US" w:eastAsia="zh-CN"/>
        </w:rPr>
        <w:t>6、</w:t>
      </w:r>
      <w:r>
        <w:rPr>
          <w:sz w:val="24"/>
        </w:rPr>
        <w:t>提出风险防范措施和建议，并评估采取防范措施后的风险等级。</w:t>
      </w:r>
    </w:p>
    <w:p w14:paraId="4C7DCD9F">
      <w:pPr>
        <w:pStyle w:val="2"/>
        <w:spacing w:before="0" w:after="0" w:line="360" w:lineRule="auto"/>
        <w:rPr>
          <w:sz w:val="24"/>
          <w:szCs w:val="24"/>
        </w:rPr>
      </w:pPr>
      <w:r>
        <w:rPr>
          <w:rFonts w:hint="eastAsia"/>
          <w:sz w:val="24"/>
          <w:szCs w:val="24"/>
        </w:rPr>
        <w:t xml:space="preserve">    </w:t>
      </w:r>
      <w:r>
        <w:rPr>
          <w:sz w:val="24"/>
          <w:szCs w:val="24"/>
        </w:rPr>
        <w:t>三、征求意见主要事项</w:t>
      </w:r>
    </w:p>
    <w:p w14:paraId="69744AEA">
      <w:pPr>
        <w:spacing w:line="360" w:lineRule="auto"/>
        <w:rPr>
          <w:sz w:val="24"/>
        </w:rPr>
      </w:pPr>
      <w:r>
        <w:rPr>
          <w:rFonts w:hint="eastAsia"/>
          <w:sz w:val="24"/>
        </w:rPr>
        <w:t xml:space="preserve">    </w:t>
      </w:r>
      <w:r>
        <w:rPr>
          <w:sz w:val="24"/>
        </w:rPr>
        <w:t>主要征求社会</w:t>
      </w:r>
      <w:r>
        <w:rPr>
          <w:rFonts w:hint="eastAsia"/>
          <w:sz w:val="24"/>
          <w:lang w:eastAsia="zh-CN"/>
        </w:rPr>
        <w:t>各界</w:t>
      </w:r>
      <w:r>
        <w:rPr>
          <w:sz w:val="24"/>
        </w:rPr>
        <w:t>和</w:t>
      </w:r>
      <w:r>
        <w:rPr>
          <w:rFonts w:hint="eastAsia"/>
          <w:sz w:val="24"/>
          <w:lang w:eastAsia="zh-CN"/>
        </w:rPr>
        <w:t>当地</w:t>
      </w:r>
      <w:r>
        <w:rPr>
          <w:rFonts w:hint="eastAsia"/>
          <w:sz w:val="24"/>
        </w:rPr>
        <w:t>群众</w:t>
      </w:r>
      <w:r>
        <w:rPr>
          <w:sz w:val="24"/>
        </w:rPr>
        <w:t>，特别是与</w:t>
      </w:r>
      <w:r>
        <w:rPr>
          <w:rFonts w:hint="eastAsia"/>
          <w:sz w:val="24"/>
          <w:lang w:val="en-US" w:eastAsia="zh-CN"/>
        </w:rPr>
        <w:t>项目</w:t>
      </w:r>
      <w:r>
        <w:rPr>
          <w:sz w:val="24"/>
        </w:rPr>
        <w:t>有直接利益关系群众和有关部门对</w:t>
      </w:r>
      <w:r>
        <w:rPr>
          <w:rFonts w:hint="eastAsia"/>
          <w:sz w:val="24"/>
          <w:lang w:eastAsia="zh-CN"/>
        </w:rPr>
        <w:t>项目</w:t>
      </w:r>
      <w:r>
        <w:rPr>
          <w:sz w:val="24"/>
        </w:rPr>
        <w:t>实施的</w:t>
      </w:r>
      <w:r>
        <w:rPr>
          <w:rFonts w:hint="eastAsia"/>
          <w:sz w:val="24"/>
          <w:lang w:eastAsia="zh-CN"/>
        </w:rPr>
        <w:t>真实</w:t>
      </w:r>
      <w:r>
        <w:rPr>
          <w:sz w:val="24"/>
        </w:rPr>
        <w:t>意见</w:t>
      </w:r>
      <w:r>
        <w:rPr>
          <w:rFonts w:hint="eastAsia"/>
          <w:sz w:val="24"/>
          <w:lang w:eastAsia="zh-CN"/>
        </w:rPr>
        <w:t>和述求</w:t>
      </w:r>
      <w:r>
        <w:rPr>
          <w:sz w:val="24"/>
        </w:rPr>
        <w:t>。</w:t>
      </w:r>
    </w:p>
    <w:p w14:paraId="5E7440FF">
      <w:pPr>
        <w:spacing w:line="360" w:lineRule="auto"/>
        <w:rPr>
          <w:rFonts w:eastAsia="宋体"/>
          <w:sz w:val="24"/>
        </w:rPr>
      </w:pPr>
      <w:r>
        <w:rPr>
          <w:rFonts w:hint="eastAsia"/>
          <w:sz w:val="24"/>
        </w:rPr>
        <w:t xml:space="preserve">  </w:t>
      </w:r>
      <w:r>
        <w:rPr>
          <w:rFonts w:hint="eastAsia" w:eastAsia="宋体"/>
          <w:sz w:val="24"/>
        </w:rPr>
        <w:t xml:space="preserve">  1、</w:t>
      </w:r>
      <w:r>
        <w:rPr>
          <w:rFonts w:hint="eastAsia" w:eastAsia="宋体"/>
          <w:sz w:val="24"/>
          <w:lang w:eastAsia="zh-CN"/>
        </w:rPr>
        <w:t>本</w:t>
      </w:r>
      <w:r>
        <w:rPr>
          <w:rFonts w:hint="eastAsia" w:eastAsia="宋体"/>
          <w:sz w:val="24"/>
          <w:lang w:val="en-US" w:eastAsia="zh-CN"/>
        </w:rPr>
        <w:t>项目</w:t>
      </w:r>
      <w:r>
        <w:rPr>
          <w:rFonts w:hint="eastAsia" w:eastAsia="宋体"/>
          <w:sz w:val="24"/>
          <w:lang w:eastAsia="zh-CN"/>
        </w:rPr>
        <w:t>涉及群体对</w:t>
      </w:r>
      <w:r>
        <w:rPr>
          <w:rFonts w:hint="eastAsia" w:eastAsia="宋体"/>
          <w:sz w:val="24"/>
          <w:lang w:val="en-US" w:eastAsia="zh-CN"/>
        </w:rPr>
        <w:t>项目</w:t>
      </w:r>
      <w:r>
        <w:rPr>
          <w:rFonts w:hint="eastAsia" w:eastAsia="宋体"/>
          <w:sz w:val="24"/>
          <w:lang w:eastAsia="zh-CN"/>
        </w:rPr>
        <w:t>的了解</w:t>
      </w:r>
      <w:r>
        <w:rPr>
          <w:rFonts w:eastAsia="宋体"/>
          <w:sz w:val="24"/>
        </w:rPr>
        <w:t>；</w:t>
      </w:r>
    </w:p>
    <w:p w14:paraId="2B1D3F59">
      <w:pPr>
        <w:spacing w:line="360" w:lineRule="auto"/>
        <w:ind w:firstLine="480" w:firstLineChars="200"/>
        <w:rPr>
          <w:rFonts w:eastAsia="宋体"/>
          <w:sz w:val="24"/>
        </w:rPr>
      </w:pPr>
      <w:r>
        <w:rPr>
          <w:rFonts w:hint="eastAsia" w:eastAsia="宋体"/>
          <w:sz w:val="24"/>
          <w:lang w:val="en-US" w:eastAsia="zh-CN"/>
        </w:rPr>
        <w:t>2</w:t>
      </w:r>
      <w:r>
        <w:rPr>
          <w:rFonts w:hint="eastAsia" w:eastAsia="宋体"/>
          <w:sz w:val="24"/>
        </w:rPr>
        <w:t>、</w:t>
      </w:r>
      <w:r>
        <w:rPr>
          <w:rFonts w:hint="eastAsia" w:eastAsia="宋体"/>
          <w:sz w:val="24"/>
          <w:lang w:eastAsia="zh-CN"/>
        </w:rPr>
        <w:t>本</w:t>
      </w:r>
      <w:r>
        <w:rPr>
          <w:rFonts w:hint="eastAsia" w:eastAsia="宋体"/>
          <w:sz w:val="24"/>
          <w:lang w:val="en-US" w:eastAsia="zh-CN"/>
        </w:rPr>
        <w:t>项目</w:t>
      </w:r>
      <w:r>
        <w:rPr>
          <w:rFonts w:hint="eastAsia" w:eastAsia="宋体"/>
          <w:sz w:val="24"/>
          <w:lang w:eastAsia="zh-CN"/>
        </w:rPr>
        <w:t>涉及群体对</w:t>
      </w:r>
      <w:r>
        <w:rPr>
          <w:rFonts w:hint="eastAsia" w:eastAsia="宋体"/>
          <w:sz w:val="24"/>
          <w:lang w:val="en-US" w:eastAsia="zh-CN"/>
        </w:rPr>
        <w:t>项目</w:t>
      </w:r>
      <w:r>
        <w:rPr>
          <w:rFonts w:hint="eastAsia" w:eastAsia="宋体"/>
          <w:sz w:val="24"/>
          <w:lang w:eastAsia="zh-CN"/>
        </w:rPr>
        <w:t>的态度</w:t>
      </w:r>
      <w:r>
        <w:rPr>
          <w:rFonts w:eastAsia="宋体"/>
          <w:sz w:val="24"/>
        </w:rPr>
        <w:t>；</w:t>
      </w:r>
    </w:p>
    <w:p w14:paraId="7AEFCA8E">
      <w:pPr>
        <w:spacing w:line="360" w:lineRule="auto"/>
        <w:ind w:firstLine="480" w:firstLineChars="200"/>
        <w:rPr>
          <w:rFonts w:hint="default" w:eastAsia="宋体"/>
          <w:sz w:val="24"/>
          <w:lang w:val="en-US" w:eastAsia="zh-CN"/>
        </w:rPr>
      </w:pPr>
      <w:r>
        <w:rPr>
          <w:rFonts w:hint="eastAsia" w:eastAsia="宋体"/>
          <w:sz w:val="24"/>
          <w:lang w:val="en-US" w:eastAsia="zh-CN"/>
        </w:rPr>
        <w:t>3、</w:t>
      </w:r>
      <w:r>
        <w:rPr>
          <w:rFonts w:hint="eastAsia" w:eastAsia="宋体"/>
          <w:sz w:val="24"/>
          <w:lang w:eastAsia="zh-CN"/>
        </w:rPr>
        <w:t>本</w:t>
      </w:r>
      <w:r>
        <w:rPr>
          <w:rFonts w:hint="eastAsia" w:eastAsia="宋体"/>
          <w:sz w:val="24"/>
          <w:lang w:val="en-US" w:eastAsia="zh-CN"/>
        </w:rPr>
        <w:t>项目</w:t>
      </w:r>
      <w:r>
        <w:rPr>
          <w:rFonts w:hint="eastAsia" w:eastAsia="宋体"/>
          <w:sz w:val="24"/>
          <w:lang w:eastAsia="zh-CN"/>
        </w:rPr>
        <w:t>涉及群体对</w:t>
      </w:r>
      <w:r>
        <w:rPr>
          <w:rFonts w:hint="eastAsia" w:eastAsia="宋体"/>
          <w:sz w:val="24"/>
          <w:lang w:val="en-US" w:eastAsia="zh-CN"/>
        </w:rPr>
        <w:t>项目的意见和建议</w:t>
      </w:r>
    </w:p>
    <w:p w14:paraId="1B0F4D4F">
      <w:pPr>
        <w:pStyle w:val="2"/>
        <w:spacing w:before="0" w:after="0" w:line="360" w:lineRule="auto"/>
        <w:rPr>
          <w:sz w:val="24"/>
          <w:szCs w:val="24"/>
        </w:rPr>
      </w:pPr>
      <w:r>
        <w:rPr>
          <w:rFonts w:hint="eastAsia"/>
          <w:sz w:val="24"/>
          <w:szCs w:val="24"/>
        </w:rPr>
        <w:t xml:space="preserve">    四</w:t>
      </w:r>
      <w:r>
        <w:rPr>
          <w:sz w:val="24"/>
          <w:szCs w:val="24"/>
        </w:rPr>
        <w:t>、征求公众意见的具体形式 </w:t>
      </w:r>
    </w:p>
    <w:p w14:paraId="23FD9939">
      <w:pPr>
        <w:spacing w:line="360" w:lineRule="auto"/>
        <w:ind w:firstLine="480"/>
        <w:rPr>
          <w:sz w:val="24"/>
        </w:rPr>
      </w:pPr>
      <w:r>
        <w:rPr>
          <w:rFonts w:hint="eastAsia"/>
          <w:sz w:val="24"/>
        </w:rPr>
        <w:t>为便于</w:t>
      </w:r>
      <w:r>
        <w:rPr>
          <w:sz w:val="24"/>
        </w:rPr>
        <w:t>征求</w:t>
      </w:r>
      <w:r>
        <w:rPr>
          <w:rFonts w:hint="eastAsia"/>
          <w:sz w:val="24"/>
        </w:rPr>
        <w:t>和整理</w:t>
      </w:r>
      <w:r>
        <w:rPr>
          <w:sz w:val="24"/>
        </w:rPr>
        <w:t>公众对</w:t>
      </w:r>
      <w:r>
        <w:rPr>
          <w:rFonts w:hint="eastAsia"/>
          <w:sz w:val="24"/>
        </w:rPr>
        <w:t>本</w:t>
      </w:r>
      <w:r>
        <w:rPr>
          <w:rFonts w:hint="eastAsia"/>
          <w:sz w:val="24"/>
          <w:lang w:val="en-US" w:eastAsia="zh-CN"/>
        </w:rPr>
        <w:t>项目</w:t>
      </w:r>
      <w:r>
        <w:rPr>
          <w:rFonts w:hint="eastAsia"/>
          <w:sz w:val="24"/>
        </w:rPr>
        <w:t>实施</w:t>
      </w:r>
      <w:r>
        <w:rPr>
          <w:sz w:val="24"/>
        </w:rPr>
        <w:t>在社会稳定风险分析方面的意见和建议</w:t>
      </w:r>
      <w:r>
        <w:rPr>
          <w:rFonts w:hint="eastAsia"/>
          <w:sz w:val="24"/>
        </w:rPr>
        <w:t>，</w:t>
      </w:r>
      <w:r>
        <w:rPr>
          <w:rFonts w:hint="eastAsia"/>
          <w:sz w:val="24"/>
          <w:lang w:val="en-US" w:eastAsia="zh-CN"/>
        </w:rPr>
        <w:t>项目单位</w:t>
      </w:r>
      <w:r>
        <w:rPr>
          <w:rFonts w:hint="eastAsia"/>
          <w:sz w:val="24"/>
        </w:rPr>
        <w:t>设立了联系电话，并计划召开专项座谈会。</w:t>
      </w:r>
      <w:r>
        <w:rPr>
          <w:sz w:val="24"/>
        </w:rPr>
        <w:t>公众可</w:t>
      </w:r>
      <w:r>
        <w:rPr>
          <w:rFonts w:hint="eastAsia"/>
          <w:sz w:val="24"/>
        </w:rPr>
        <w:t>在公告有效期</w:t>
      </w:r>
      <w:r>
        <w:rPr>
          <w:sz w:val="24"/>
        </w:rPr>
        <w:t>内</w:t>
      </w:r>
      <w:r>
        <w:rPr>
          <w:rFonts w:hint="eastAsia"/>
          <w:sz w:val="24"/>
        </w:rPr>
        <w:t>按本公告提供的联系方式与</w:t>
      </w:r>
      <w:r>
        <w:rPr>
          <w:rFonts w:hint="eastAsia"/>
          <w:sz w:val="24"/>
          <w:lang w:val="en-US" w:eastAsia="zh-CN"/>
        </w:rPr>
        <w:t>项目单位</w:t>
      </w:r>
      <w:r>
        <w:rPr>
          <w:rFonts w:hint="eastAsia"/>
          <w:sz w:val="24"/>
        </w:rPr>
        <w:t>取得联系并登记</w:t>
      </w:r>
      <w:r>
        <w:rPr>
          <w:rFonts w:hint="eastAsia"/>
          <w:sz w:val="24"/>
          <w:lang w:eastAsia="zh-CN"/>
        </w:rPr>
        <w:t>，</w:t>
      </w:r>
      <w:r>
        <w:rPr>
          <w:rFonts w:hint="eastAsia"/>
          <w:sz w:val="24"/>
          <w:lang w:val="en-US" w:eastAsia="zh-CN"/>
        </w:rPr>
        <w:t>项目单位</w:t>
      </w:r>
      <w:r>
        <w:rPr>
          <w:rFonts w:hint="eastAsia"/>
          <w:sz w:val="24"/>
        </w:rPr>
        <w:t>酌情确定是否召开座谈会。</w:t>
      </w:r>
    </w:p>
    <w:p w14:paraId="31CBCBBB">
      <w:pPr>
        <w:pStyle w:val="2"/>
        <w:spacing w:before="0" w:after="0" w:line="360" w:lineRule="auto"/>
        <w:rPr>
          <w:sz w:val="24"/>
          <w:szCs w:val="24"/>
        </w:rPr>
      </w:pPr>
      <w:r>
        <w:rPr>
          <w:rFonts w:hint="eastAsia"/>
          <w:sz w:val="24"/>
          <w:szCs w:val="24"/>
        </w:rPr>
        <w:t xml:space="preserve">    </w:t>
      </w:r>
      <w:r>
        <w:rPr>
          <w:sz w:val="24"/>
          <w:szCs w:val="24"/>
        </w:rPr>
        <w:t>五、公众提出意见的时间期限</w:t>
      </w:r>
    </w:p>
    <w:p w14:paraId="65B13029">
      <w:pPr>
        <w:spacing w:line="360" w:lineRule="auto"/>
        <w:rPr>
          <w:sz w:val="24"/>
        </w:rPr>
      </w:pPr>
      <w:r>
        <w:rPr>
          <w:rFonts w:hint="eastAsia"/>
          <w:sz w:val="24"/>
        </w:rPr>
        <w:t xml:space="preserve">    </w:t>
      </w:r>
      <w:r>
        <w:rPr>
          <w:sz w:val="24"/>
        </w:rPr>
        <w:t>本次公</w:t>
      </w:r>
      <w:r>
        <w:rPr>
          <w:rFonts w:hint="eastAsia"/>
          <w:sz w:val="24"/>
        </w:rPr>
        <w:t>告</w:t>
      </w:r>
      <w:r>
        <w:rPr>
          <w:sz w:val="24"/>
        </w:rPr>
        <w:t>意见征求时间是本公</w:t>
      </w:r>
      <w:r>
        <w:rPr>
          <w:rFonts w:hint="eastAsia"/>
          <w:sz w:val="24"/>
        </w:rPr>
        <w:t>告</w:t>
      </w:r>
      <w:r>
        <w:rPr>
          <w:sz w:val="24"/>
        </w:rPr>
        <w:t>发布之日起</w:t>
      </w:r>
      <w:r>
        <w:rPr>
          <w:rFonts w:hint="eastAsia"/>
          <w:sz w:val="24"/>
          <w:highlight w:val="none"/>
          <w:lang w:val="en-US" w:eastAsia="zh-CN"/>
        </w:rPr>
        <w:t>30</w:t>
      </w:r>
      <w:r>
        <w:rPr>
          <w:sz w:val="24"/>
        </w:rPr>
        <w:t>日。</w:t>
      </w:r>
    </w:p>
    <w:p w14:paraId="2BF12038">
      <w:pPr>
        <w:pStyle w:val="2"/>
        <w:spacing w:before="0" w:after="0" w:line="360" w:lineRule="auto"/>
        <w:rPr>
          <w:sz w:val="24"/>
          <w:szCs w:val="24"/>
        </w:rPr>
      </w:pPr>
      <w:r>
        <w:rPr>
          <w:rFonts w:hint="eastAsia"/>
          <w:sz w:val="24"/>
          <w:szCs w:val="24"/>
        </w:rPr>
        <w:t xml:space="preserve">    六</w:t>
      </w:r>
      <w:r>
        <w:rPr>
          <w:sz w:val="24"/>
          <w:szCs w:val="24"/>
        </w:rPr>
        <w:t>、</w:t>
      </w:r>
      <w:r>
        <w:rPr>
          <w:rFonts w:hint="eastAsia"/>
          <w:sz w:val="24"/>
          <w:szCs w:val="24"/>
        </w:rPr>
        <w:t>项目单位概况</w:t>
      </w:r>
    </w:p>
    <w:p w14:paraId="16DE9EC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sz w:val="24"/>
          <w:szCs w:val="24"/>
        </w:rPr>
        <w:t>项目单位：</w:t>
      </w:r>
      <w:r>
        <w:rPr>
          <w:rFonts w:hint="eastAsia" w:ascii="宋体" w:hAnsi="宋体" w:eastAsia="宋体" w:cs="Times New Roman"/>
          <w:color w:val="auto"/>
          <w:sz w:val="24"/>
          <w:szCs w:val="24"/>
          <w:highlight w:val="none"/>
          <w:lang w:val="zh-CN" w:eastAsia="zh-CN"/>
        </w:rPr>
        <w:t>抚顺市新抚区住房和城乡建设服务中心</w:t>
      </w:r>
    </w:p>
    <w:p w14:paraId="2808EFA8">
      <w:pPr>
        <w:spacing w:line="360" w:lineRule="auto"/>
        <w:ind w:firstLine="480"/>
        <w:rPr>
          <w:rFonts w:hint="eastAsia" w:ascii="宋体" w:hAnsi="宋体" w:eastAsia="宋体" w:cs="宋体"/>
          <w:sz w:val="24"/>
          <w:szCs w:val="24"/>
          <w:lang w:eastAsia="zh-CN"/>
        </w:rPr>
      </w:pPr>
      <w:r>
        <w:rPr>
          <w:rFonts w:hint="eastAsia" w:ascii="宋体" w:hAnsi="宋体" w:eastAsia="宋体" w:cs="宋体"/>
          <w:sz w:val="24"/>
          <w:szCs w:val="24"/>
        </w:rPr>
        <w:t>项目</w:t>
      </w:r>
      <w:r>
        <w:rPr>
          <w:rFonts w:hint="eastAsia" w:ascii="宋体" w:hAnsi="宋体" w:eastAsia="宋体" w:cs="宋体"/>
          <w:sz w:val="24"/>
          <w:szCs w:val="24"/>
          <w:lang w:val="en-US" w:eastAsia="zh-CN"/>
        </w:rPr>
        <w:t>单位</w:t>
      </w:r>
      <w:r>
        <w:rPr>
          <w:rFonts w:hint="eastAsia" w:ascii="宋体" w:hAnsi="宋体" w:eastAsia="宋体" w:cs="宋体"/>
          <w:sz w:val="24"/>
          <w:szCs w:val="24"/>
        </w:rPr>
        <w:t>联系人：</w:t>
      </w:r>
      <w:r>
        <w:rPr>
          <w:rFonts w:hint="eastAsia" w:ascii="宋体" w:hAnsi="宋体" w:cs="宋体"/>
          <w:sz w:val="24"/>
          <w:szCs w:val="24"/>
          <w:lang w:eastAsia="zh-CN"/>
        </w:rPr>
        <w:t>闫杰</w:t>
      </w:r>
    </w:p>
    <w:p w14:paraId="6B11349D">
      <w:pPr>
        <w:spacing w:line="360" w:lineRule="auto"/>
        <w:ind w:firstLine="480"/>
        <w:rPr>
          <w:rFonts w:hint="default"/>
          <w:lang w:val="en-US"/>
        </w:rPr>
      </w:pPr>
      <w:r>
        <w:rPr>
          <w:rFonts w:hint="eastAsia" w:ascii="宋体" w:hAnsi="宋体" w:eastAsia="宋体" w:cs="宋体"/>
          <w:sz w:val="24"/>
          <w:szCs w:val="24"/>
          <w:lang w:val="en-US" w:eastAsia="zh-CN"/>
        </w:rPr>
        <w:t>联系电话：</w:t>
      </w:r>
      <w:r>
        <w:rPr>
          <w:rFonts w:hint="eastAsia" w:ascii="宋体" w:hAnsi="宋体" w:cs="宋体"/>
          <w:sz w:val="24"/>
          <w:szCs w:val="24"/>
          <w:lang w:val="en-US" w:eastAsia="zh-CN"/>
        </w:rPr>
        <w:t>58585726</w:t>
      </w:r>
      <w:bookmarkStart w:id="0" w:name="_GoBack"/>
      <w:bookmarkEnd w:id="0"/>
    </w:p>
    <w:p w14:paraId="33BAECDB">
      <w:pPr>
        <w:pStyle w:val="5"/>
        <w:ind w:left="0" w:leftChars="0" w:firstLine="0" w:firstLineChars="0"/>
      </w:pPr>
    </w:p>
    <w:p w14:paraId="0ECB73BD"/>
    <w:p w14:paraId="3399B152">
      <w:pPr>
        <w:pStyle w:val="15"/>
      </w:pPr>
    </w:p>
    <w:p w14:paraId="31DDCAF8">
      <w:pPr>
        <w:pStyle w:val="15"/>
      </w:pPr>
    </w:p>
    <w:p w14:paraId="3AA31359"/>
    <w:p w14:paraId="47E0E5E6">
      <w:pPr>
        <w:pStyle w:val="5"/>
      </w:pPr>
    </w:p>
    <w:p w14:paraId="0540DFD6">
      <w:pPr>
        <w:spacing w:line="360" w:lineRule="auto"/>
        <w:ind w:firstLine="480"/>
        <w:rPr>
          <w:rFonts w:hint="eastAsia"/>
          <w:sz w:val="24"/>
          <w:lang w:val="en-US" w:eastAsia="zh-CN"/>
        </w:rPr>
      </w:pPr>
      <w:r>
        <w:rPr>
          <w:rFonts w:hint="eastAsia"/>
          <w:sz w:val="24"/>
          <w:highlight w:val="none"/>
          <w:lang w:val="en-US" w:eastAsia="zh-CN"/>
        </w:rPr>
        <w:t xml:space="preserve">                                                               </w:t>
      </w:r>
      <w:r>
        <w:rPr>
          <w:rFonts w:hint="eastAsia" w:ascii="宋体" w:hAnsi="宋体" w:eastAsia="宋体" w:cs="宋体"/>
          <w:sz w:val="28"/>
          <w:szCs w:val="28"/>
          <w:highlight w:val="none"/>
          <w:lang w:val="en-US" w:eastAsia="zh-CN"/>
        </w:rPr>
        <w:t xml:space="preserve">    </w:t>
      </w:r>
      <w:r>
        <w:rPr>
          <w:rFonts w:hint="eastAsia" w:ascii="宋体" w:hAnsi="宋体" w:cs="宋体"/>
          <w:sz w:val="28"/>
          <w:szCs w:val="28"/>
          <w:highlight w:val="none"/>
          <w:lang w:val="en-US" w:eastAsia="zh-CN"/>
        </w:rPr>
        <w:t xml:space="preserve">    </w:t>
      </w:r>
      <w:r>
        <w:rPr>
          <w:rFonts w:hint="eastAsia"/>
          <w:sz w:val="24"/>
          <w:lang w:val="en-US" w:eastAsia="zh-CN"/>
        </w:rPr>
        <w:t xml:space="preserve">2025年4月28日 </w:t>
      </w:r>
    </w:p>
    <w:p w14:paraId="3E78E2A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sz w:val="24"/>
          <w:szCs w:val="24"/>
          <w:lang w:val="en-US" w:eastAsia="zh-CN"/>
        </w:rPr>
      </w:pPr>
      <w:r>
        <w:rPr>
          <w:rFonts w:hint="eastAsia"/>
          <w:sz w:val="24"/>
          <w:lang w:val="en-US" w:eastAsia="zh-CN"/>
        </w:rPr>
        <w:t xml:space="preserve">                                                            </w:t>
      </w:r>
      <w:r>
        <w:rPr>
          <w:rFonts w:hint="eastAsia"/>
          <w:sz w:val="24"/>
          <w:szCs w:val="24"/>
          <w:lang w:val="en-US" w:eastAsia="zh-CN"/>
        </w:rPr>
        <w:t xml:space="preserve"> </w:t>
      </w:r>
      <w:r>
        <w:rPr>
          <w:rFonts w:hint="eastAsia" w:ascii="宋体" w:hAnsi="宋体" w:eastAsia="宋体" w:cs="Times New Roman"/>
          <w:color w:val="auto"/>
          <w:sz w:val="24"/>
          <w:szCs w:val="24"/>
          <w:highlight w:val="none"/>
          <w:lang w:val="zh-CN" w:eastAsia="zh-CN"/>
        </w:rPr>
        <w:t>抚顺市新抚区住房和城乡建设服务中心</w:t>
      </w:r>
    </w:p>
    <w:p w14:paraId="3D692D52">
      <w:pPr>
        <w:spacing w:line="360" w:lineRule="auto"/>
        <w:ind w:firstLine="480"/>
        <w:rPr>
          <w:rFonts w:hint="eastAsia" w:ascii="宋体" w:hAnsi="宋体" w:eastAsia="宋体" w:cs="宋体"/>
          <w:color w:val="FF0000"/>
          <w:sz w:val="24"/>
          <w:szCs w:val="24"/>
        </w:rPr>
      </w:pPr>
    </w:p>
    <w:sectPr>
      <w:headerReference r:id="rId5" w:type="first"/>
      <w:footerReference r:id="rId7" w:type="first"/>
      <w:headerReference r:id="rId3" w:type="default"/>
      <w:headerReference r:id="rId4" w:type="even"/>
      <w:footerReference r:id="rId6" w:type="even"/>
      <w:pgSz w:w="16783" w:h="23757"/>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74F7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443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0F89">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0FD15">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EDA34">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xN2VkNzU4NDFiY2MxZWZhMmU3ZTMyMzQ4MzlkNmIifQ=="/>
    <w:docVar w:name="KSO_WPS_MARK_KEY" w:val="1dd1f945-0187-4628-8820-f731927f5f76"/>
  </w:docVars>
  <w:rsids>
    <w:rsidRoot w:val="00D87E35"/>
    <w:rsid w:val="00061B84"/>
    <w:rsid w:val="000716D7"/>
    <w:rsid w:val="00080F78"/>
    <w:rsid w:val="00091769"/>
    <w:rsid w:val="000D0215"/>
    <w:rsid w:val="00102381"/>
    <w:rsid w:val="00110E6C"/>
    <w:rsid w:val="001116A6"/>
    <w:rsid w:val="00120497"/>
    <w:rsid w:val="00131ED8"/>
    <w:rsid w:val="00141FD9"/>
    <w:rsid w:val="0015322A"/>
    <w:rsid w:val="001552AA"/>
    <w:rsid w:val="001B2A6A"/>
    <w:rsid w:val="001C5F98"/>
    <w:rsid w:val="001C6574"/>
    <w:rsid w:val="001E0000"/>
    <w:rsid w:val="00205938"/>
    <w:rsid w:val="002660A2"/>
    <w:rsid w:val="002736E1"/>
    <w:rsid w:val="00273806"/>
    <w:rsid w:val="002A147B"/>
    <w:rsid w:val="002A1A44"/>
    <w:rsid w:val="002D095F"/>
    <w:rsid w:val="002E0C61"/>
    <w:rsid w:val="002E74E6"/>
    <w:rsid w:val="002F0048"/>
    <w:rsid w:val="00301BCB"/>
    <w:rsid w:val="003038F9"/>
    <w:rsid w:val="003048DC"/>
    <w:rsid w:val="003218A1"/>
    <w:rsid w:val="00341411"/>
    <w:rsid w:val="003635DF"/>
    <w:rsid w:val="003646CB"/>
    <w:rsid w:val="003710F2"/>
    <w:rsid w:val="00373CC7"/>
    <w:rsid w:val="003A0F13"/>
    <w:rsid w:val="003B6843"/>
    <w:rsid w:val="003E32EF"/>
    <w:rsid w:val="00407D7E"/>
    <w:rsid w:val="0044462B"/>
    <w:rsid w:val="00472D33"/>
    <w:rsid w:val="004A2AC6"/>
    <w:rsid w:val="004A2BDD"/>
    <w:rsid w:val="004C5593"/>
    <w:rsid w:val="004D23A4"/>
    <w:rsid w:val="004D40B1"/>
    <w:rsid w:val="004D5C4E"/>
    <w:rsid w:val="00501970"/>
    <w:rsid w:val="00530B6F"/>
    <w:rsid w:val="00543075"/>
    <w:rsid w:val="00543267"/>
    <w:rsid w:val="0058396F"/>
    <w:rsid w:val="005A6914"/>
    <w:rsid w:val="005B1148"/>
    <w:rsid w:val="005B1C5F"/>
    <w:rsid w:val="005B3808"/>
    <w:rsid w:val="005C7D62"/>
    <w:rsid w:val="005D0063"/>
    <w:rsid w:val="005E1353"/>
    <w:rsid w:val="005E7B15"/>
    <w:rsid w:val="00602AFD"/>
    <w:rsid w:val="00615E1E"/>
    <w:rsid w:val="00616ED7"/>
    <w:rsid w:val="00684749"/>
    <w:rsid w:val="0068685E"/>
    <w:rsid w:val="006A2673"/>
    <w:rsid w:val="006A4C45"/>
    <w:rsid w:val="006C76AE"/>
    <w:rsid w:val="007024E5"/>
    <w:rsid w:val="00705E00"/>
    <w:rsid w:val="00712965"/>
    <w:rsid w:val="00716FA4"/>
    <w:rsid w:val="00727AA9"/>
    <w:rsid w:val="0074762F"/>
    <w:rsid w:val="00760F4F"/>
    <w:rsid w:val="007864F5"/>
    <w:rsid w:val="00790A1E"/>
    <w:rsid w:val="007B333E"/>
    <w:rsid w:val="007B5274"/>
    <w:rsid w:val="007C5BE8"/>
    <w:rsid w:val="007D7056"/>
    <w:rsid w:val="007E3C27"/>
    <w:rsid w:val="007F2E05"/>
    <w:rsid w:val="00821C92"/>
    <w:rsid w:val="0082509E"/>
    <w:rsid w:val="00861EB2"/>
    <w:rsid w:val="00867200"/>
    <w:rsid w:val="00895AAB"/>
    <w:rsid w:val="008A4CC2"/>
    <w:rsid w:val="008B5C8E"/>
    <w:rsid w:val="00905BA5"/>
    <w:rsid w:val="00910DEF"/>
    <w:rsid w:val="009156D3"/>
    <w:rsid w:val="00934F9A"/>
    <w:rsid w:val="00952D01"/>
    <w:rsid w:val="00956CE5"/>
    <w:rsid w:val="009622B5"/>
    <w:rsid w:val="0096535F"/>
    <w:rsid w:val="00974164"/>
    <w:rsid w:val="009827F1"/>
    <w:rsid w:val="009857EB"/>
    <w:rsid w:val="00995AFA"/>
    <w:rsid w:val="009965FB"/>
    <w:rsid w:val="00997A48"/>
    <w:rsid w:val="009C22CB"/>
    <w:rsid w:val="009C4A3C"/>
    <w:rsid w:val="009D0E94"/>
    <w:rsid w:val="009D1664"/>
    <w:rsid w:val="00A0755A"/>
    <w:rsid w:val="00A15521"/>
    <w:rsid w:val="00A31C81"/>
    <w:rsid w:val="00A37D04"/>
    <w:rsid w:val="00A4442A"/>
    <w:rsid w:val="00A450ED"/>
    <w:rsid w:val="00A53772"/>
    <w:rsid w:val="00A756AA"/>
    <w:rsid w:val="00A77D54"/>
    <w:rsid w:val="00A87A54"/>
    <w:rsid w:val="00A911E7"/>
    <w:rsid w:val="00AB6AF7"/>
    <w:rsid w:val="00AC06D7"/>
    <w:rsid w:val="00AE2B06"/>
    <w:rsid w:val="00AE4BD8"/>
    <w:rsid w:val="00AF4A63"/>
    <w:rsid w:val="00B12251"/>
    <w:rsid w:val="00B46FCC"/>
    <w:rsid w:val="00B4745F"/>
    <w:rsid w:val="00B53EA6"/>
    <w:rsid w:val="00B97EB3"/>
    <w:rsid w:val="00BA72D9"/>
    <w:rsid w:val="00BE7760"/>
    <w:rsid w:val="00BF54AC"/>
    <w:rsid w:val="00C35FBB"/>
    <w:rsid w:val="00C371E2"/>
    <w:rsid w:val="00C473CB"/>
    <w:rsid w:val="00C60C13"/>
    <w:rsid w:val="00C84443"/>
    <w:rsid w:val="00CA059F"/>
    <w:rsid w:val="00CA249B"/>
    <w:rsid w:val="00CD4A31"/>
    <w:rsid w:val="00CD547B"/>
    <w:rsid w:val="00CD69F8"/>
    <w:rsid w:val="00CF223B"/>
    <w:rsid w:val="00CF4D4B"/>
    <w:rsid w:val="00D254B2"/>
    <w:rsid w:val="00D32E80"/>
    <w:rsid w:val="00D634EF"/>
    <w:rsid w:val="00D65ABA"/>
    <w:rsid w:val="00D719C6"/>
    <w:rsid w:val="00D746DD"/>
    <w:rsid w:val="00D748AD"/>
    <w:rsid w:val="00D7568B"/>
    <w:rsid w:val="00D839EC"/>
    <w:rsid w:val="00D87E35"/>
    <w:rsid w:val="00DB3F2A"/>
    <w:rsid w:val="00DC137B"/>
    <w:rsid w:val="00DC5CDD"/>
    <w:rsid w:val="00DC7F4A"/>
    <w:rsid w:val="00DD167D"/>
    <w:rsid w:val="00DE50F6"/>
    <w:rsid w:val="00DE7F34"/>
    <w:rsid w:val="00E163DE"/>
    <w:rsid w:val="00E33C62"/>
    <w:rsid w:val="00E91779"/>
    <w:rsid w:val="00EB13A2"/>
    <w:rsid w:val="00EB7F02"/>
    <w:rsid w:val="00EC15B2"/>
    <w:rsid w:val="00EC42BF"/>
    <w:rsid w:val="00EF37DF"/>
    <w:rsid w:val="00F230C2"/>
    <w:rsid w:val="00F3792D"/>
    <w:rsid w:val="00F40D1B"/>
    <w:rsid w:val="00F76FA9"/>
    <w:rsid w:val="00FA5F3C"/>
    <w:rsid w:val="00FA7537"/>
    <w:rsid w:val="00FA755D"/>
    <w:rsid w:val="00FD6A1F"/>
    <w:rsid w:val="00FD7411"/>
    <w:rsid w:val="00FE771A"/>
    <w:rsid w:val="022C0284"/>
    <w:rsid w:val="03C840F7"/>
    <w:rsid w:val="0522742C"/>
    <w:rsid w:val="05560700"/>
    <w:rsid w:val="065C5AB4"/>
    <w:rsid w:val="08EE0E95"/>
    <w:rsid w:val="08F46CAF"/>
    <w:rsid w:val="0EAA16A6"/>
    <w:rsid w:val="0F274E7B"/>
    <w:rsid w:val="13506FFE"/>
    <w:rsid w:val="135B39C0"/>
    <w:rsid w:val="145F6CAC"/>
    <w:rsid w:val="146B63D5"/>
    <w:rsid w:val="15E04FED"/>
    <w:rsid w:val="181E28FA"/>
    <w:rsid w:val="1A1A6E11"/>
    <w:rsid w:val="1B550334"/>
    <w:rsid w:val="1E7D1A11"/>
    <w:rsid w:val="1FD8600A"/>
    <w:rsid w:val="21E92AF7"/>
    <w:rsid w:val="23394B8A"/>
    <w:rsid w:val="240B1D2C"/>
    <w:rsid w:val="26373D82"/>
    <w:rsid w:val="27B85986"/>
    <w:rsid w:val="283D1093"/>
    <w:rsid w:val="2B7A5A7A"/>
    <w:rsid w:val="2E2621EF"/>
    <w:rsid w:val="2FFF631F"/>
    <w:rsid w:val="31296AA9"/>
    <w:rsid w:val="31C33D33"/>
    <w:rsid w:val="32466539"/>
    <w:rsid w:val="328E2434"/>
    <w:rsid w:val="343914E6"/>
    <w:rsid w:val="34D61E0D"/>
    <w:rsid w:val="36004014"/>
    <w:rsid w:val="37B53ACA"/>
    <w:rsid w:val="3CA00B69"/>
    <w:rsid w:val="3D834766"/>
    <w:rsid w:val="3FE47990"/>
    <w:rsid w:val="40BC7000"/>
    <w:rsid w:val="40E26C3C"/>
    <w:rsid w:val="477B0B49"/>
    <w:rsid w:val="4786770E"/>
    <w:rsid w:val="4BC8307D"/>
    <w:rsid w:val="4D5A523F"/>
    <w:rsid w:val="4DCE3154"/>
    <w:rsid w:val="51736093"/>
    <w:rsid w:val="53D1600F"/>
    <w:rsid w:val="541B78BC"/>
    <w:rsid w:val="5894116E"/>
    <w:rsid w:val="5C38048E"/>
    <w:rsid w:val="5E4A2C5A"/>
    <w:rsid w:val="5FC95C3E"/>
    <w:rsid w:val="60665537"/>
    <w:rsid w:val="64BF5EFE"/>
    <w:rsid w:val="64C91E4C"/>
    <w:rsid w:val="66453534"/>
    <w:rsid w:val="68540F96"/>
    <w:rsid w:val="68D47DC6"/>
    <w:rsid w:val="6C2E204E"/>
    <w:rsid w:val="6E5C414D"/>
    <w:rsid w:val="700360B9"/>
    <w:rsid w:val="718553E1"/>
    <w:rsid w:val="74E26A90"/>
    <w:rsid w:val="759B7139"/>
    <w:rsid w:val="76C15DCE"/>
    <w:rsid w:val="78AE3B2A"/>
    <w:rsid w:val="78F773B4"/>
    <w:rsid w:val="79396417"/>
    <w:rsid w:val="7B485462"/>
    <w:rsid w:val="7D2F5401"/>
    <w:rsid w:val="7DC5524D"/>
    <w:rsid w:val="7E1D7F3D"/>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autoRedefine/>
    <w:qFormat/>
    <w:uiPriority w:val="0"/>
    <w:pPr>
      <w:pBdr>
        <w:top w:val="none" w:color="auto" w:sz="0" w:space="0"/>
        <w:left w:val="none" w:color="auto" w:sz="0" w:space="0"/>
        <w:bottom w:val="none" w:color="auto" w:sz="0" w:space="0"/>
        <w:right w:val="none" w:color="auto" w:sz="0" w:space="0"/>
      </w:pBdr>
      <w:wordWrap w:val="0"/>
      <w:spacing w:before="0" w:beforeAutospacing="0" w:after="0" w:afterAutospacing="0" w:line="276" w:lineRule="auto"/>
      <w:ind w:left="0" w:right="0"/>
      <w:jc w:val="left"/>
    </w:pPr>
    <w:rPr>
      <w:rFonts w:hint="eastAsia" w:ascii="宋体" w:hAnsi="宋体" w:eastAsia="宋体" w:cs="宋体"/>
      <w:b/>
      <w:kern w:val="0"/>
      <w:sz w:val="27"/>
      <w:szCs w:val="27"/>
      <w:lang w:val="en-US" w:eastAsia="zh-CN" w:bidi="ar"/>
    </w:rPr>
  </w:style>
  <w:style w:type="character" w:default="1" w:styleId="17">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Document Map"/>
    <w:basedOn w:val="1"/>
    <w:autoRedefine/>
    <w:semiHidden/>
    <w:qFormat/>
    <w:uiPriority w:val="0"/>
    <w:pPr>
      <w:shd w:val="clear" w:color="auto" w:fill="000080"/>
    </w:pPr>
  </w:style>
  <w:style w:type="paragraph" w:styleId="7">
    <w:name w:val="annotation text"/>
    <w:basedOn w:val="1"/>
    <w:autoRedefine/>
    <w:semiHidden/>
    <w:qFormat/>
    <w:uiPriority w:val="0"/>
    <w:pPr>
      <w:jc w:val="left"/>
    </w:pPr>
  </w:style>
  <w:style w:type="paragraph" w:styleId="8">
    <w:name w:val="Body Text"/>
    <w:basedOn w:val="1"/>
    <w:autoRedefine/>
    <w:qFormat/>
    <w:uiPriority w:val="0"/>
    <w:pPr>
      <w:spacing w:after="120"/>
    </w:pPr>
  </w:style>
  <w:style w:type="paragraph" w:styleId="9">
    <w:name w:val="Date"/>
    <w:basedOn w:val="1"/>
    <w:next w:val="1"/>
    <w:autoRedefine/>
    <w:qFormat/>
    <w:uiPriority w:val="0"/>
    <w:pPr>
      <w:ind w:left="100" w:leftChars="2500"/>
    </w:pPr>
  </w:style>
  <w:style w:type="paragraph" w:styleId="10">
    <w:name w:val="Balloon Text"/>
    <w:basedOn w:val="1"/>
    <w:autoRedefine/>
    <w:semiHidden/>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4">
    <w:name w:val="annotation subject"/>
    <w:basedOn w:val="7"/>
    <w:next w:val="7"/>
    <w:autoRedefine/>
    <w:semiHidden/>
    <w:qFormat/>
    <w:uiPriority w:val="0"/>
    <w:rPr>
      <w:b/>
      <w:bCs/>
    </w:rPr>
  </w:style>
  <w:style w:type="paragraph" w:styleId="15">
    <w:name w:val="Body Text First Indent"/>
    <w:basedOn w:val="8"/>
    <w:autoRedefine/>
    <w:qFormat/>
    <w:uiPriority w:val="0"/>
    <w:pPr>
      <w:spacing w:after="120"/>
      <w:ind w:left="0" w:leftChars="0" w:firstLine="420" w:firstLineChars="100"/>
    </w:pPr>
    <w:rPr>
      <w:sz w:val="21"/>
      <w:szCs w:val="24"/>
    </w:rPr>
  </w:style>
  <w:style w:type="character" w:styleId="18">
    <w:name w:val="Strong"/>
    <w:basedOn w:val="17"/>
    <w:autoRedefine/>
    <w:qFormat/>
    <w:uiPriority w:val="0"/>
    <w:rPr>
      <w:b/>
      <w:bCs/>
    </w:rPr>
  </w:style>
  <w:style w:type="character" w:styleId="19">
    <w:name w:val="annotation reference"/>
    <w:basedOn w:val="17"/>
    <w:autoRedefine/>
    <w:semiHidden/>
    <w:qFormat/>
    <w:uiPriority w:val="0"/>
    <w:rPr>
      <w:sz w:val="21"/>
      <w:szCs w:val="21"/>
    </w:rPr>
  </w:style>
  <w:style w:type="character" w:customStyle="1" w:styleId="20">
    <w:name w:val="apple-converted-space"/>
    <w:basedOn w:val="17"/>
    <w:autoRedefine/>
    <w:qFormat/>
    <w:uiPriority w:val="0"/>
  </w:style>
  <w:style w:type="paragraph" w:customStyle="1" w:styleId="21">
    <w:name w:val="可研样式1"/>
    <w:basedOn w:val="1"/>
    <w:autoRedefine/>
    <w:qFormat/>
    <w:uiPriority w:val="0"/>
    <w:pPr>
      <w:spacing w:line="360" w:lineRule="auto"/>
      <w:ind w:firstLine="200" w:firstLineChars="200"/>
    </w:pPr>
    <w:rPr>
      <w:rFonts w:eastAsia="仿宋_GB2312"/>
      <w:color w:val="000000"/>
      <w:sz w:val="24"/>
      <w:szCs w:val="44"/>
    </w:rPr>
  </w:style>
  <w:style w:type="paragraph" w:customStyle="1" w:styleId="22">
    <w:name w:val="DTX-WZ"/>
    <w:link w:val="23"/>
    <w:autoRedefine/>
    <w:qFormat/>
    <w:uiPriority w:val="0"/>
    <w:pPr>
      <w:widowControl w:val="0"/>
      <w:adjustRightInd w:val="0"/>
      <w:snapToGrid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23">
    <w:name w:val="DTX-WZ Char"/>
    <w:basedOn w:val="17"/>
    <w:link w:val="22"/>
    <w:autoRedefine/>
    <w:qFormat/>
    <w:locked/>
    <w:uiPriority w:val="0"/>
    <w:rPr>
      <w:kern w:val="2"/>
      <w:sz w:val="24"/>
      <w:szCs w:val="24"/>
      <w:lang w:val="en-US" w:eastAsia="zh-CN" w:bidi="ar-SA"/>
    </w:rPr>
  </w:style>
  <w:style w:type="paragraph" w:customStyle="1" w:styleId="24">
    <w:name w:val="封皮"/>
    <w:basedOn w:val="1"/>
    <w:autoRedefine/>
    <w:qFormat/>
    <w:uiPriority w:val="10"/>
    <w:pPr>
      <w:ind w:firstLine="0" w:firstLineChars="0"/>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MC SYSTEM</Company>
  <Pages>1</Pages>
  <Words>844</Words>
  <Characters>867</Characters>
  <Lines>8</Lines>
  <Paragraphs>2</Paragraphs>
  <TotalTime>0</TotalTime>
  <ScaleCrop>false</ScaleCrop>
  <LinksUpToDate>false</LinksUpToDate>
  <CharactersWithSpaces>1045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2018-04-13T06:03:00Z</dcterms:created>
  <dc:creator>MC SYSTEM</dc:creator>
  <cp:lastModifiedBy>Administrator</cp:lastModifiedBy>
  <cp:lastPrinted>2020-06-14T00:56:00Z</cp:lastPrinted>
  <dcterms:modified xsi:type="dcterms:W3CDTF">2025-04-29T03:58:43Z</dcterms:modified>
  <dc:title>依据国家发改委《关于印发国家发展改革委重大固定资产投资项目社会稳定风险评估暂行办法的通知》（发改投资（2012）2492号）、抚顺市发展和改革委员会《关于印发抚顺市发展改革重大固定资产投资项目社会稳定风险评估暂行办法的通知》（抚发改投资[2014]127号）的要求，现将重庆祥龙天然气有限公司武陵山天然气管道工程社会稳定风险分析篇章工作向公众进行信息公告，征求公众对工程建设在社会稳定风险分析方面的意见和建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CE060CF4BFD84C3098A7599A95436642</vt:lpwstr>
  </property>
  <property fmtid="{D5CDD505-2E9C-101B-9397-08002B2CF9AE}" pid="4" name="KSOTemplateDocerSaveRecord">
    <vt:lpwstr>eyJoZGlkIjoiOTMzODQ5ZjUyNDIxZWM1NTZlZDUxZTI4ZjBmMGE4Y2YifQ==</vt:lpwstr>
  </property>
</Properties>
</file>